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11</w:t>
      </w:r>
    </w:p>
    <w:p>
      <w:r>
        <w:t>Bundesgericht (BGE), 1989-07-11, DE</w:t>
      </w:r>
    </w:p>
    <w:p>
      <w:r>
        <w:rPr>
          <w:b/>
        </w:rPr>
        <w:t xml:space="preserve">Quelle: </w:t>
      </w:r>
      <w:r>
        <w:t>https://mcp.opencaselaw.ch/entscheid/bge_115 III 11</w:t>
      </w:r>
    </w:p>
    <w:p>
      <w:r>
        <w:t>FR: ATF 115 III 11</w:t>
      </w:r>
    </w:p>
    <w:p>
      <w:r>
        <w:t>IT: DTF 115 III 11</w:t>
      </w:r>
    </w:p>
    <w:p>
      <w:pPr>
        <w:pStyle w:val="Heading2"/>
      </w:pPr>
      <w:r>
        <w:t>Regeste</w:t>
      </w:r>
    </w:p>
    <w:p>
      <w:r>
        <w:t>Regeste 1. Betreibungsferien (Art. 56 Ziff. 3 SchKG); Frist zur Einreichung des Rekurses an das Bundesgericht (Art. 19 Abs. 1 SchKG). Das Verbot der Vornahme von Betreibungshandlungen gemäss Art. 56 SchKG richtet sich nur insofern an die Aufsichtsbehörden, als diese selbständig in das Verfahren eingreifen und dem Betreibungsbeamten die Vornahme einer Betreibungshandlung vorschreiben; entscheiden die Aufsichtsbehörden nur über die Begründetheit einer Beschwerde oder eines Rekurses, liegt keine Betreibungshandlung im Sinne von Art. 56 SchKG vor. Die Vorschrift von Art. 63 SchKG, wonach die Frist bis zum dritten Tag nach dem Ende der Ferienzeit oder des Rechtsstillstandes verlängert wird, ist deshalb nicht anwendbar, wenn ein solcher Entscheid einer Aufsichtsbehörde weitergezogen wird (E. 1). 2. Betreibungsbegehren eines Anlagefonds (Art. 67 SchKG). Ein Anlagefonds im Sinne von Art. 2 Abs. 1 des Bundesgesetzes über die Anlagefonds ist nicht aktiv betreibungsfähig; die von einem solchen erwirkten Betreibungshandlungen sind nichtig (E. 2).</w:t>
      </w:r>
    </w:p>
    <w:p>
      <w:pPr>
        <w:pStyle w:val="Heading2"/>
      </w:pPr>
      <w:r>
        <w:t>Erwägungen</w:t>
      </w:r>
    </w:p>
    <w:p>
      <w:r>
        <w:rPr>
          <w:b/>
        </w:rPr>
        <w:t>E. 1</w:t>
      </w:r>
    </w:p>
    <w:p>
      <w:r>
        <w:t>a) Der Rekurrent hat die angefochtenen Entscheide am 15. März 1989 zugestellt erhalten, so dass die zehntägige Rekursfrist gemäss Art. 19 Abs. 1 SchKG am 16. März zu laufen begann; der zehnte Tag (25. März) fiel auf einen Samstag, und der nachfolgende Montag (27. März) war der Ostermontag; wird davon ausgegangen, dass dieser im Kanton Basel-Landschaft ein anerkannter BGE 115 III 11 S. 13 Feiertag ist, hätte der Rekurs grundsätzlich am 28. März 1989 der Post übergeben werden müssen ( Art. 32 Abs. 2 OG ; Bundesgesetz über den Fristenlauf an Samstagen, SR 173.110.3). Die Rekurseingabe trägt den Poststempel vom 31. März 1989. Der Hinweis des Rekurrenten auf Art. 34 Abs. 1 lit. a OG , wonach gesetzliche Fristen vom siebten Tage vor Ostern bis und mit dem siebten Tage nach Ostern stillstehen, ist unbehelflich, da diese Bestimmung in Schuldbetreibungs- und Konkurssachen nicht gilt ( Art. 34 Abs. 2 OG ). Hingegen fragt sich, ob die Rekursfrist in Anbetracht der Oster-Betreibungsferien ( Art. 56 Ziff. 3 und Art. 63 SchKG ) als gewahrt zu gelten habe. b) Nachdem die erkennende Kammer in BGE 113 III 5 f. die Tragweite von Art. 56 SchKG im Zusammenhang mit der Frist zum Rekurs nach Art. 19 Abs. 1 SchKG und den Art. 78 ff. OG angeschnitten, aber noch offengelassen hatte, hat sie Urteil vom 20. Januar 1989 in Sachen Betreibungsamt Muotathal ( BGE 115 III 9 E. 4) ausgeführt, eine Verlängerung der Rekursfrist nach Massgabe von Art. 63 SchKG komme auf jeden Fall nur dann in Frage, wenn der Entscheid der kantonalen Aufsichtsbehörde eine Betreibungshandlung im Sinne von Art. 56 SchKG zum Gegenstand habe, die während Betreibungsferien und Rechtsstillstand nicht vorgenommen werden dürfe; Betreibungshandlungen seien nach der Rechtsprechung Handlungen der Vollstreckungsbehörden, die auf die Einleitung oder Fortsetzung eines Verfahrens gerichtet seien, das seinerseits darauf abziele, den Gläubiger auf dem Weg der Zwangsvollstreckung aus dem Vermögen des Schuldners zu befriedigen, und die in die Rechtsstellung des Schuldners eingriffen; auch die Mitteilung des Entscheids einer kantonalen Aufsichtsbehörde über eine Beschwerde oder einen Rekurs sei bis anhin uneingeschränkt als Betreibungshandlung betrachtet worden (Erw. 5). Bezüglich dieses letzten Punktes hat sich die erkennende Kammer neu der differenzierenden Betrachtungsweise von JAEGER (N. 3 zu Art. 56 SchKG ), NÖTZLI (Die analoge Anwendung zivilprozessualer Normen auf das Beschwerdeverfahren nach SchKG, unter besonderer Berücksichtigung des Kantons Zürich, Diss. Zürich 1980, S. 114) und BLUMENSTEIN (Handbuch des Schweizerischen Schuldbetreibungsrechtes, S. 205) angeschlossen. Darnach richtet sich das Verbot der Vornahme von Betreibungshandlungen gemäss Art. 56 SchKG an die Aufsichtsbehörden nur insofern, als diese selbständig in das Verfahren eingreifen und dem Betreibungsbeamten BGE 115 III 11 S. 14 spontan die Vornahme einer Betreibungshandlung vorschreiben. Aus der Sicht von Art. 56 SchKG ist unter einer Betreibungshandlung mit andern Worten eine behördliche, gegen den Schuldner gerichtete Massnahme zu verstehen, mit der die Schuldbetreibung in ein vorgerückteres Stadium gebracht wird (so BLUMENSTEIN, a.a.O.). Wenn die Aufsichtsbehörde nur über die Begründetheit einer Beschwerde oder eines Rekurses entscheidet, liegt hingegen keine Betreibungshandlung im erwähnten Sinne vor. c) In den hier angefochtenen Entscheiden hat die Vorinstanz einzig über die Begründetheit der vom Rekurrenten gegen die Zahlungsbefehle erhobenen Beschwerden befunden, so dass aufgrund der angeführten neuen Rechtsprechung Art. 56 Ziff. 3 und Art. 63 SchKG nicht zum Tragen gekommen sind. Sollte sich indessen erweisen, dass den Rekursgegnern die aktive Betreibungsfähigkeit tatsächlich nicht zukommt, wären die strittigen Betreibungen nichtig (vgl. FRITZSCHE/WALDER, Schuldbetreibung und Konkurs nach schweizerischem Recht, I. Bd., § 9 Rz. 5 und 6). Da die erkennende Kammer bei Nichtigkeit jederzeit von Amtes wegen, d.h. ungeachtet der Einhaltung der Rekursfrist, einzugreifen hat (vgl. BGE 111 III 61 f. E. 3), ist auf den Rekurs trotz Verspätung einzutreten.</w:t>
      </w:r>
    </w:p>
    <w:p>
      <w:r>
        <w:rPr>
          <w:b/>
        </w:rPr>
        <w:t>E. 2</w:t>
      </w:r>
    </w:p>
    <w:p>
      <w:r>
        <w:t>a) Die erkennende Kammer hat schon in dem die gleichen Immobilienfonds wie hier betreffenden Urteil vom 13. April 1989 ... festgehalten, dass einem Anlagefonds im Sinne von Art. 2 Abs. 1 des Bundesgesetzes über die Anlagefonds (AFG; SR 951.31) keine Rechtspersönlichkeit zukomme und dass er deshalb als solcher nicht als Betreibungsgläubiger auftreten könne: Nach dem Gesetz ist das Fondsvermögen nicht als Körperschaft ausgestaltet; mit dem Kollektivanlagevertrag entstehen Rechtsbeziehungen nur zwischen dem einzelnen Anleger und der Fondsleitung (zum Ganzen vgl. AMONN, Der Kollektivanlagevertrag, in: Schweizerisches Privatrecht, Bd. VII/2, S. 277 ff., insbesondere S. 287 ff. und 304 ff.). Es besteht keine rechtliche Gemeinschaft der Anleger (vgl. AMONN, a.a.O. S. 304), und im Gesetz ist denn auch eine kollektive Geltendmachung von Erfüllungs- und Schadenersatzansprüchen - für die weder die Vorinstanz noch die Rekursgegner ein Bedürfnis darzutun vermögen nicht vorgesehen (dazu Botschaft vom 23. November 1965 zum Entwurf eines Bundesgesetzes über die Anlagefonds, BBl 1965 III S. 298). b) Was die Vorinstanz und die Rekursgegner zur Begründung des abweichenden Standpunktes anführen, vermag nicht durchzuschlagen. BGE 115 III 11 S. 15 Für den Fall, dass die Fondsleitung ihre vertraglichen Verpflichtungen nicht oder nicht gehörig erfüllen sollte, sieht Art. 23 Abs. 1 AFG vor, dass der einzelne Anleger auf Erfüllung klagen kann, und zwar auch dann, wenn die Klage Auswirkungen auf alle Anleger hat. Hat die Fondsleitung oder eine der in Art. 14 Abs. 4 AFG genannten Personen dem Anlagefonds widerrechtlich Vermögenswerte entzogen oder Vermögensvorteile vorenthalten, so geht die Klage auf Einwerfung in den Anlagefonds ( Art. 23 Abs. 2 AFG ). Letzteres bedeutet indessen nicht zwingend, dass der Fonds auch Gläubiger sei. Beim unechten Vertrag zugunsten eines Dritten ( Art. 112 Abs. 1 OR ) verhält es sich beispielsweise ebenfalls so, dass der zum Empfang der versprochenen Leistung bestimmte Dritte kein eigenes Forderungsrecht hat, d. h. nicht Gläubiger ist (vgl. GUHL/MERZ/KUMMER, Das Schweizerische Obligationenrecht, 7. A., S. 155). Ähnlich liegen die Dinge bei der von den Rekursgegnern angerufenen Geltendmachung eines mittelbaren Schadens der Aktionäre und Gesellschaftsgläubiger im Sinne von Art. 755 OR (dazu Kommentar BÜRGI/NORDMANN-ZIMMERMANN, N. 10 zu Art. 755 OR ); auch dieser Hinweis ist unbehelflich. Der Anlagefonds lässt sich sodann entgegen der Ansicht der Vorinstanz nicht mit der Kollektiv- und der Kommanditgesellschaft, der Konkursmasse, der Liquidationsmasse im Nachlassverfahren mit Vermögensabtretung oder mit der Stockwerkeigentümergemeinschaft vergleichen, da deren Rechtsstellung im Gesetz ausdrücklich umschrieben ist (vgl. Art. 562 und 602 OR ; Art. 240 SchKG ; Art. 316d Abs. 2 und 3 SchKG ; Art. 712l Abs. 2 ZGB ). Auch die von der Vorinstanz angeführte passive Betreibungsfähigkeit der Erbschaft ergibt sich ausdrücklich aus dem Gesetz (vgl. Art. 49 SchKG ). c) Aus dem Gesagten erhellt, dass die Rekursgegner nicht aktiv betreibungsfähig sind. Die von ihnen erwirkten Zahlungsbefehle sind deshalb aufzuheben, und das Betreibungsamt ist anzuweisen, die entsprechenden Einträge im Betreibungsregister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